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EB" w:rsidRDefault="00D170EB"/>
    <w:p w:rsidR="00684636" w:rsidRPr="00684636" w:rsidRDefault="00684636" w:rsidP="00684636">
      <w:pPr>
        <w:spacing w:after="225" w:line="240" w:lineRule="atLeast"/>
        <w:outlineLvl w:val="0"/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it-IT"/>
        </w:rPr>
      </w:pPr>
      <w:r w:rsidRPr="00684636"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it-IT"/>
        </w:rPr>
        <w:t>Il «</w:t>
      </w:r>
      <w:proofErr w:type="spellStart"/>
      <w:r w:rsidRPr="00684636"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it-IT"/>
        </w:rPr>
        <w:t>whistleblowing</w:t>
      </w:r>
      <w:proofErr w:type="spellEnd"/>
      <w:r w:rsidRPr="00684636"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it-IT"/>
        </w:rPr>
        <w:t>» è legge: tutelato il dipendente che segnala illeciti</w:t>
      </w:r>
    </w:p>
    <w:p w:rsidR="00684636" w:rsidRPr="00684636" w:rsidRDefault="00684636" w:rsidP="00684636">
      <w:pPr>
        <w:spacing w:after="0" w:line="240" w:lineRule="atLeast"/>
        <w:rPr>
          <w:rFonts w:ascii="Arial" w:eastAsia="Times New Roman" w:hAnsi="Arial" w:cs="Arial"/>
          <w:sz w:val="2"/>
          <w:szCs w:val="2"/>
          <w:lang w:eastAsia="it-IT"/>
        </w:rPr>
      </w:pPr>
      <w:r w:rsidRPr="00684636">
        <w:rPr>
          <w:rFonts w:ascii="Arial" w:eastAsia="Times New Roman" w:hAnsi="Arial" w:cs="Arial"/>
          <w:sz w:val="2"/>
          <w:szCs w:val="2"/>
          <w:lang w:eastAsia="it-IT"/>
        </w:rPr>
        <w:t> </w:t>
      </w:r>
    </w:p>
    <w:p w:rsidR="00684636" w:rsidRPr="00684636" w:rsidRDefault="00684636" w:rsidP="0068463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7"/>
          <w:szCs w:val="17"/>
          <w:lang w:eastAsia="it-IT"/>
        </w:rPr>
      </w:pPr>
      <w:r w:rsidRPr="00684636">
        <w:rPr>
          <w:rFonts w:ascii="Arial" w:eastAsia="Times New Roman" w:hAnsi="Arial" w:cs="Arial"/>
          <w:sz w:val="17"/>
          <w:szCs w:val="17"/>
          <w:lang w:eastAsia="it-IT"/>
        </w:rPr>
        <w:t>15 novembre 2017</w:t>
      </w:r>
    </w:p>
    <w:p w:rsidR="00684636" w:rsidRPr="00684636" w:rsidRDefault="00684636" w:rsidP="00684636">
      <w:pPr>
        <w:shd w:val="clear" w:color="auto" w:fill="F5E5D5"/>
        <w:spacing w:after="0" w:line="240" w:lineRule="auto"/>
        <w:rPr>
          <w:rFonts w:ascii="Georgia" w:eastAsia="Times New Roman" w:hAnsi="Georgia" w:cs="Times New Roman"/>
          <w:color w:val="1A171B"/>
          <w:sz w:val="21"/>
          <w:szCs w:val="21"/>
          <w:lang w:eastAsia="it-IT"/>
        </w:rPr>
      </w:pPr>
    </w:p>
    <w:p w:rsidR="00684636" w:rsidRDefault="00684636" w:rsidP="00684636">
      <w:pPr>
        <w:shd w:val="clear" w:color="auto" w:fill="F5E5D5"/>
        <w:spacing w:after="75" w:line="408" w:lineRule="atLeast"/>
        <w:ind w:left="-225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</w:p>
    <w:p w:rsidR="00684636" w:rsidRPr="00684636" w:rsidRDefault="00684636" w:rsidP="00684636">
      <w:pPr>
        <w:shd w:val="clear" w:color="auto" w:fill="F5E5D5"/>
        <w:spacing w:after="75" w:line="408" w:lineRule="atLeast"/>
        <w:ind w:left="-225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Via libera definitivo della Camera dei deputati con 357 voti (contrari Fi e Di con 46 voti; 15 gli astenuti) alla legge che introduce in Italia il cosiddetto </w:t>
      </w:r>
      <w:proofErr w:type="spell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fldChar w:fldCharType="begin"/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instrText xml:space="preserve"> HYPERLINK "http://argomenti.ilsole24ore.com/parolechiave/whistleblower.html" </w:instrTex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fldChar w:fldCharType="separate"/>
      </w:r>
      <w:r w:rsidRPr="00684636">
        <w:rPr>
          <w:rFonts w:ascii="Georgia" w:eastAsia="Times New Roman" w:hAnsi="Georgia" w:cs="Times New Roman"/>
          <w:color w:val="356E89"/>
          <w:sz w:val="27"/>
          <w:szCs w:val="27"/>
          <w:u w:val="single"/>
          <w:lang w:eastAsia="it-IT"/>
        </w:rPr>
        <w:t>whistleblowing</w:t>
      </w:r>
      <w:proofErr w:type="spellEnd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fldChar w:fldCharType="end"/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, vale a dire la segnalazione di attività illecite nell'amministrazione pubblica o in aziende private, da parte del dipendente che ne sia venuto a conoscenza per ragioni di lavoro. La norma che si compone di tre articoli mira soprattutto alla tutela dei lavoratori.</w:t>
      </w:r>
    </w:p>
    <w:p w:rsidR="00684636" w:rsidRPr="00684636" w:rsidRDefault="00684636" w:rsidP="00684636">
      <w:pPr>
        <w:shd w:val="clear" w:color="auto" w:fill="F5E5D5"/>
        <w:spacing w:after="0" w:line="408" w:lineRule="atLeast"/>
        <w:rPr>
          <w:rFonts w:ascii="Georgia" w:eastAsia="Times New Roman" w:hAnsi="Georgia" w:cs="Times New Roman"/>
          <w:color w:val="1A171B"/>
          <w:sz w:val="24"/>
          <w:szCs w:val="24"/>
          <w:lang w:eastAsia="it-IT"/>
        </w:rPr>
      </w:pPr>
      <w:r w:rsidRPr="00684636">
        <w:rPr>
          <w:rFonts w:ascii="Georgia" w:eastAsia="Times New Roman" w:hAnsi="Georgia" w:cs="Times New Roman"/>
          <w:color w:val="1A171B"/>
          <w:sz w:val="24"/>
          <w:szCs w:val="24"/>
          <w:lang w:eastAsia="it-IT"/>
        </w:rPr>
        <w:t xml:space="preserve"> </w:t>
      </w:r>
    </w:p>
    <w:p w:rsidR="00684636" w:rsidRPr="00684636" w:rsidRDefault="00684636" w:rsidP="00684636">
      <w:pPr>
        <w:shd w:val="clear" w:color="auto" w:fill="F5E5D5"/>
        <w:spacing w:after="450" w:line="408" w:lineRule="atLeast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  <w:r w:rsidRPr="00684636">
        <w:rPr>
          <w:rFonts w:ascii="Georgia" w:eastAsia="Times New Roman" w:hAnsi="Georgia" w:cs="Times New Roman"/>
          <w:b/>
          <w:bCs/>
          <w:color w:val="1A171B"/>
          <w:sz w:val="27"/>
          <w:szCs w:val="27"/>
          <w:lang w:eastAsia="it-IT"/>
        </w:rPr>
        <w:t>Pubblica amministrazione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 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br/>
        <w:t xml:space="preserve">L'articolo 1 modifica l'articolo 54-bis del Testo unico del pubblico impiego (Dlgs n. 165 del 2001), introdotto dalla legge Severino che aveva già accordato </w:t>
      </w:r>
      <w:proofErr w:type="gram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un prima</w:t>
      </w:r>
      <w:proofErr w:type="gramEnd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 xml:space="preserve"> forma di tutela per il segnalante, prevedendo un vero e proprio sistema di garanzie per il dipendente. La nuova disciplina stabilisce, anzitutto, che colui il quale - nell'interesse dell'integrità della </w:t>
      </w:r>
      <w:proofErr w:type="spell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Pa</w:t>
      </w:r>
      <w:proofErr w:type="spellEnd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 xml:space="preserve"> - segnali al responsabile della prevenzione della corruzione dell'ente (di norma un dirigente amministrativo; negli enti locali il segretario) o all'Autorità nazionale anticorruzione o ancora all’autorità giudiziaria ordinaria o contabile le condotte illecite o di abuso di cui sia venuto a conoscenza in ragione del suo rapporto di lavoro, non possa essere - per motivi collegati alla segnalazione - soggetto a sanzioni, </w:t>
      </w:r>
      <w:proofErr w:type="spell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demansionato</w:t>
      </w:r>
      <w:proofErr w:type="spellEnd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, licenziato, trasferito o sottoposto a altre misure organizzative che abbiano un effetto negativo sulle condizioni di lavoro.</w:t>
      </w:r>
    </w:p>
    <w:p w:rsidR="00684636" w:rsidRPr="00684636" w:rsidRDefault="00684636" w:rsidP="00684636">
      <w:pPr>
        <w:shd w:val="clear" w:color="auto" w:fill="F5E5D5"/>
        <w:spacing w:after="450" w:line="408" w:lineRule="atLeast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lastRenderedPageBreak/>
        <w:t xml:space="preserve">L'eventuale adozione di misure discriminatorie va comunicata dall'interessato o dai sindacati </w:t>
      </w:r>
      <w:proofErr w:type="spell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all'</w:t>
      </w:r>
      <w:hyperlink r:id="rId5" w:history="1">
        <w:r w:rsidRPr="00684636">
          <w:rPr>
            <w:rFonts w:ascii="Georgia" w:eastAsia="Times New Roman" w:hAnsi="Georgia" w:cs="Times New Roman"/>
            <w:color w:val="356E89"/>
            <w:sz w:val="27"/>
            <w:szCs w:val="27"/>
            <w:u w:val="single"/>
            <w:lang w:eastAsia="it-IT"/>
          </w:rPr>
          <w:t>Anac</w:t>
        </w:r>
        <w:proofErr w:type="spellEnd"/>
      </w:hyperlink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 xml:space="preserve"> che a sua volta ne dà comunicazione al Dipartimento della funzione pubblica e agli altri organismi di garanzia. In questi casi </w:t>
      </w:r>
      <w:proofErr w:type="spell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l’Anac</w:t>
      </w:r>
      <w:proofErr w:type="spellEnd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 xml:space="preserve"> può irrogare una sanzione amministrativa pecuniaria a carico del responsabile da 5.000 a 30.000 euro, fermi restando gli altri profili di responsabilità. Inoltre, </w:t>
      </w:r>
      <w:proofErr w:type="spellStart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l’Anac</w:t>
      </w:r>
      <w:proofErr w:type="spellEnd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 xml:space="preserve"> applica la sanzione amministrativa da 10.000 a 50.000 euro a carico del responsabile che non svolga le attività di verifica e analisi delle segnalazioni ricevute. La misura della sanzione tiene conto delle dimensioni dell'amministrazione.</w:t>
      </w:r>
    </w:p>
    <w:p w:rsidR="00684636" w:rsidRPr="00684636" w:rsidRDefault="00684636" w:rsidP="00684636">
      <w:pPr>
        <w:shd w:val="clear" w:color="auto" w:fill="F5E5D5"/>
        <w:spacing w:after="450" w:line="408" w:lineRule="atLeast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Spetta poi all'amministrazione l’onere di provare che le misure discriminatorie o ritorsive adottate nei confronti del segnalante sono motivate da ragioni estranee alla segnalazione. Gli atti discriminatori o ritorsivi adottati dall'amministrazione o dall'ente comunque sono nulli. Il segnalante licenziato ha diritto alla reintegra nel posto di lavoro e al risarcimento del danno. Le tutele invece non sono garantite nel caso in cui, anche con sentenza di primo grado, sia stata accertata la responsabilità penale del segnalante per i reati di calunnia o diffamazione o comunque reati commessi con la denuncia del medesimo segnalante ovvero la sua responsabilità civile, nei casi di dolo o colpa grave.</w:t>
      </w:r>
    </w:p>
    <w:p w:rsidR="00684636" w:rsidRPr="00684636" w:rsidRDefault="00684636" w:rsidP="00684636">
      <w:pPr>
        <w:shd w:val="clear" w:color="auto" w:fill="F5E5D5"/>
        <w:spacing w:after="0" w:line="408" w:lineRule="atLeast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</w:p>
    <w:p w:rsidR="00684636" w:rsidRPr="00684636" w:rsidRDefault="00684636" w:rsidP="00684636">
      <w:pPr>
        <w:numPr>
          <w:ilvl w:val="0"/>
          <w:numId w:val="4"/>
        </w:numPr>
        <w:shd w:val="clear" w:color="auto" w:fill="F5E5D5"/>
        <w:spacing w:after="0" w:line="210" w:lineRule="atLeast"/>
        <w:ind w:left="-225"/>
        <w:outlineLvl w:val="5"/>
        <w:rPr>
          <w:rFonts w:ascii="Arial" w:eastAsia="Times New Roman" w:hAnsi="Arial" w:cs="Arial"/>
          <w:b/>
          <w:bCs/>
          <w:caps/>
          <w:color w:val="1A171B"/>
          <w:sz w:val="28"/>
          <w:szCs w:val="28"/>
          <w:lang w:eastAsia="it-IT"/>
        </w:rPr>
      </w:pPr>
      <w:r w:rsidRPr="00684636">
        <w:rPr>
          <w:rFonts w:ascii="Arial" w:eastAsia="Times New Roman" w:hAnsi="Arial" w:cs="Arial"/>
          <w:b/>
          <w:bCs/>
          <w:caps/>
          <w:color w:val="1A171B"/>
          <w:sz w:val="28"/>
          <w:szCs w:val="28"/>
          <w:lang w:eastAsia="it-IT"/>
        </w:rPr>
        <w:t>SETTORE PRIVATO</w:t>
      </w:r>
    </w:p>
    <w:p w:rsidR="00684636" w:rsidRPr="00684636" w:rsidRDefault="00684636" w:rsidP="00684636">
      <w:pPr>
        <w:shd w:val="clear" w:color="auto" w:fill="F5E5D5"/>
        <w:spacing w:after="0" w:line="240" w:lineRule="atLeast"/>
        <w:rPr>
          <w:rFonts w:ascii="Arial" w:eastAsia="Times New Roman" w:hAnsi="Arial" w:cs="Arial"/>
          <w:color w:val="1A171B"/>
          <w:sz w:val="2"/>
          <w:szCs w:val="2"/>
          <w:lang w:eastAsia="it-IT"/>
        </w:rPr>
      </w:pPr>
      <w:r w:rsidRPr="00684636">
        <w:rPr>
          <w:rFonts w:ascii="Arial" w:eastAsia="Times New Roman" w:hAnsi="Arial" w:cs="Arial"/>
          <w:color w:val="1A171B"/>
          <w:sz w:val="2"/>
          <w:szCs w:val="2"/>
          <w:lang w:eastAsia="it-IT"/>
        </w:rPr>
        <w:t> </w:t>
      </w:r>
    </w:p>
    <w:p w:rsidR="00684636" w:rsidRPr="00684636" w:rsidRDefault="00684636" w:rsidP="00684636">
      <w:pPr>
        <w:shd w:val="clear" w:color="auto" w:fill="F5E5D5"/>
        <w:spacing w:after="0" w:line="240" w:lineRule="atLeast"/>
        <w:rPr>
          <w:rFonts w:ascii="Arial" w:eastAsia="Times New Roman" w:hAnsi="Arial" w:cs="Arial"/>
          <w:color w:val="1A171B"/>
          <w:sz w:val="17"/>
          <w:szCs w:val="17"/>
          <w:lang w:eastAsia="it-IT"/>
        </w:rPr>
      </w:pPr>
    </w:p>
    <w:p w:rsidR="00684636" w:rsidRPr="00684636" w:rsidRDefault="00684636" w:rsidP="00684636">
      <w:pPr>
        <w:shd w:val="clear" w:color="auto" w:fill="F5E5D5"/>
        <w:spacing w:after="75" w:line="240" w:lineRule="atLeast"/>
        <w:outlineLvl w:val="2"/>
        <w:rPr>
          <w:rFonts w:ascii="Georgia" w:eastAsia="Times New Roman" w:hAnsi="Georgia" w:cs="Times New Roman"/>
          <w:color w:val="1A171B"/>
          <w:sz w:val="24"/>
          <w:szCs w:val="24"/>
          <w:lang w:eastAsia="it-IT"/>
        </w:rPr>
      </w:pPr>
      <w:hyperlink r:id="rId6" w:history="1">
        <w:r w:rsidRPr="00684636">
          <w:rPr>
            <w:rFonts w:ascii="Georgia" w:eastAsia="Times New Roman" w:hAnsi="Georgia" w:cs="Times New Roman"/>
            <w:color w:val="0000FF"/>
            <w:sz w:val="24"/>
            <w:szCs w:val="24"/>
            <w:lang w:eastAsia="it-IT"/>
          </w:rPr>
          <w:t>Nei modelli 231 canali riservati per le denunce</w:t>
        </w:r>
      </w:hyperlink>
    </w:p>
    <w:p w:rsidR="00684636" w:rsidRPr="00684636" w:rsidRDefault="00684636" w:rsidP="00684636">
      <w:pPr>
        <w:shd w:val="clear" w:color="auto" w:fill="F5E5D5"/>
        <w:spacing w:after="450" w:line="408" w:lineRule="atLeast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  <w:r w:rsidRPr="00684636">
        <w:rPr>
          <w:rFonts w:ascii="Georgia" w:eastAsia="Times New Roman" w:hAnsi="Georgia" w:cs="Times New Roman"/>
          <w:b/>
          <w:bCs/>
          <w:color w:val="1A171B"/>
          <w:sz w:val="27"/>
          <w:szCs w:val="27"/>
          <w:lang w:eastAsia="it-IT"/>
        </w:rPr>
        <w:t>Il settore privato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 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br/>
        <w:t xml:space="preserve">L'articolo 2 estende al settore privato la tutela del dipendente o collaboratore che segnali illeciti o violazioni relative al modello di organizzazione e gestione dell'ente di cui sia venuto a conoscenza per ragioni del suo ufficio. La </w:t>
      </w:r>
      <w:bookmarkStart w:id="0" w:name="_GoBack"/>
      <w:bookmarkEnd w:id="0"/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 xml:space="preserve">disposizione dunque modifica l'articolo 6 del Dlgs 231 del 2001 sulla “Responsabilità amministrativa degli enti”, con riguardo ai modelli di organizzazione e di gestione dell'ente idonei a prevenire reati. In particolare, sono aggiunti all'articolo 6 tre nuovi commi. Il comma 2-bis, relativo ai requisiti dei modelli di organizzazione e gestione dell'ente prevede uno o più canali che, a tutela dell'integrità dell'ente, consentano a coloro che a qualsiasi titolo 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lastRenderedPageBreak/>
        <w:t>rappresentino o dirigano l'ente, segnalazioni circostanziate di condotte costituenti reati o di violazioni del modello di organizzazione e gestione dell'ente, di cui siano venuti a conoscenza in ragione delle funzioni svolte. Tali canali debbono garantire la riservatezza dell'identità del segnalante nelle attività di gestione della segnalazione, e la modalità informatica è uno strumento necessario, e non eventuale, del canale a tutela della riservatezza dell'identità del segnalante.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br/>
        <w:t>Inoltre si chiarisce che le segnalazioni devono fondarsi su elementi di fatto che siano “precisi e concordanti”.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br/>
        <w:t>I modelli di organizzazione devono prevedere sanzioni disciplinari nei confronti di chi violi le misure di tutela del segnalante. Mentre si è previsto l'obbligo di sanzionare chi effettua, con dolo o colpa grave, segnalazioni che si rivelino infondate. Il comma 2-ter prevede che l'adozione di misure discriminatorie nei confronti dei soggetti segnalanti possa essere oggetto di denuncia all'ispettorato Nazionale del Lavoro. Il comma 2-quater sancisce la nullità del licenziamento ritorsivo o discriminatorio del segnalante. Sono altresì nulli il mutamento di mansioni o qualsiasi altra misura ritorsiva o discriminatoria adottata nei confronti del segnalante. Come nel settore pubblico è onere del datore di lavoro dimostrare che l'adozione di tali misure siano estranee alla segnalazione mossa dal dipendente.</w:t>
      </w:r>
    </w:p>
    <w:p w:rsidR="00684636" w:rsidRPr="00684636" w:rsidRDefault="00684636" w:rsidP="00684636">
      <w:pPr>
        <w:shd w:val="clear" w:color="auto" w:fill="F5E5D5"/>
        <w:spacing w:after="450" w:line="408" w:lineRule="atLeast"/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</w:pPr>
      <w:r w:rsidRPr="00684636">
        <w:rPr>
          <w:rFonts w:ascii="Georgia" w:eastAsia="Times New Roman" w:hAnsi="Georgia" w:cs="Times New Roman"/>
          <w:b/>
          <w:bCs/>
          <w:color w:val="1A171B"/>
          <w:sz w:val="27"/>
          <w:szCs w:val="27"/>
          <w:lang w:eastAsia="it-IT"/>
        </w:rPr>
        <w:t>La rivelazione del segreto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t> 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br/>
        <w:t>L'articolo 3, introdotto nel corso dell'esame al Senato, con riguardo alle ipotesi di segnalazione o denuncia effettuate nel settore pubblico o privato, introduce come giusta causa di rivelazione del segreto d'ufficio, professionale (art. 622 c.p.), scientifico e industriale, nonché di violazione dell'obbligo di fedeltà all'imprenditore, il perseguimento, da parte del dipendente pubblico o privato che segnali illeciti, dell'interesse all'integrità delle amministrazioni (sia pubbliche che private) nonché alla prevenzione e alla repressione delle malversazioni. La giusta causa opera dunque come scriminante, nel presupposto che vi sia un interesse preminente (in tal caso l'interesse all'integrità delle amministrazioni) che impone o consente tale rivelazione.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br/>
        <w:t xml:space="preserve">Costituisce invece violazione dell'obbligo di segreto la rivelazione con modalità eccedenti rispetto alle finalità dell'eliminazione dell'illecito. In questi casi non </w:t>
      </w:r>
      <w:r w:rsidRPr="00684636">
        <w:rPr>
          <w:rFonts w:ascii="Georgia" w:eastAsia="Times New Roman" w:hAnsi="Georgia" w:cs="Times New Roman"/>
          <w:color w:val="1A171B"/>
          <w:sz w:val="27"/>
          <w:szCs w:val="27"/>
          <w:lang w:eastAsia="it-IT"/>
        </w:rPr>
        <w:lastRenderedPageBreak/>
        <w:t>trova dunque più applicazione la giusta causa e sussiste la fattispecie di reato a tutela del segreto.</w:t>
      </w:r>
    </w:p>
    <w:p w:rsidR="00684636" w:rsidRDefault="00684636"/>
    <w:sectPr w:rsidR="00684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5AC"/>
    <w:multiLevelType w:val="multilevel"/>
    <w:tmpl w:val="A80A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12EDF"/>
    <w:multiLevelType w:val="multilevel"/>
    <w:tmpl w:val="AE9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1547"/>
    <w:multiLevelType w:val="multilevel"/>
    <w:tmpl w:val="CD1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74CC6"/>
    <w:multiLevelType w:val="multilevel"/>
    <w:tmpl w:val="3FF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36"/>
    <w:rsid w:val="00684636"/>
    <w:rsid w:val="00D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7C18"/>
  <w15:chartTrackingRefBased/>
  <w15:docId w15:val="{7B13DCF6-5418-45D1-B4FC-034F225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8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846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6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463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4636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4636"/>
    <w:rPr>
      <w:color w:val="0000FF"/>
      <w:u w:val="single"/>
    </w:rPr>
  </w:style>
  <w:style w:type="paragraph" w:customStyle="1" w:styleId="first-letter">
    <w:name w:val="first-letter"/>
    <w:basedOn w:val="Normale"/>
    <w:rsid w:val="0068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169">
          <w:marLeft w:val="0"/>
          <w:marRight w:val="0"/>
          <w:marTop w:val="0"/>
          <w:marBottom w:val="0"/>
          <w:divBdr>
            <w:top w:val="single" w:sz="6" w:space="23" w:color="D1C0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7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sole24ore.com/art/norme-e-tributi/2017-11-14/nei-modelli-231-canali-riservati-le-denunce-223822.shtml?uuid=AE5NNNBD" TargetMode="External"/><Relationship Id="rId5" Type="http://schemas.openxmlformats.org/officeDocument/2006/relationships/hyperlink" Target="http://argomenti.ilsole24ore.com/an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Cavallari</dc:creator>
  <cp:keywords/>
  <dc:description/>
  <cp:lastModifiedBy>Cristiano Cavallari</cp:lastModifiedBy>
  <cp:revision>1</cp:revision>
  <dcterms:created xsi:type="dcterms:W3CDTF">2017-11-17T17:25:00Z</dcterms:created>
  <dcterms:modified xsi:type="dcterms:W3CDTF">2017-11-17T17:28:00Z</dcterms:modified>
</cp:coreProperties>
</file>